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FE" w:rsidRDefault="00813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1049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5387"/>
        <w:gridCol w:w="5662"/>
      </w:tblGrid>
      <w:tr w:rsidR="008135FE" w:rsidTr="00194B4A">
        <w:trPr>
          <w:trHeight w:val="767"/>
        </w:trPr>
        <w:tc>
          <w:tcPr>
            <w:tcW w:w="5387" w:type="dxa"/>
          </w:tcPr>
          <w:p w:rsidR="008135FE" w:rsidRDefault="003E6F65" w:rsidP="00194B4A">
            <w:pPr>
              <w:ind w:leftChars="-44" w:left="-104" w:hanging="2"/>
              <w:jc w:val="center"/>
            </w:pPr>
            <w:r>
              <w:t xml:space="preserve">    TRƯỜNG ĐẠI HỌC CÔNG NGHỆ THÔNG TIN</w:t>
            </w:r>
          </w:p>
          <w:p w:rsidR="008135FE" w:rsidRDefault="003E6F65" w:rsidP="00194B4A">
            <w:pPr>
              <w:ind w:leftChars="-44" w:left="-104" w:hanging="2"/>
              <w:jc w:val="center"/>
            </w:pPr>
            <w:r>
              <w:rPr>
                <w:b/>
              </w:rPr>
              <w:t>PHÒNG ĐÀO TẠO ĐẠI HỌC</w:t>
            </w:r>
          </w:p>
          <w:p w:rsidR="008135FE" w:rsidRDefault="003E6F65">
            <w:pPr>
              <w:ind w:left="0" w:hanging="2"/>
              <w:jc w:val="center"/>
            </w:pP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50800</wp:posOffset>
                      </wp:positionV>
                      <wp:extent cx="1200150" cy="22225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0688" y="3773650"/>
                                <a:ext cx="1190625" cy="127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50800</wp:posOffset>
                      </wp:positionV>
                      <wp:extent cx="1200150" cy="22225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15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62" w:type="dxa"/>
          </w:tcPr>
          <w:p w:rsidR="008135FE" w:rsidRDefault="003E6F65" w:rsidP="00194B4A">
            <w:pPr>
              <w:pStyle w:val="Heading3"/>
              <w:ind w:leftChars="-44" w:left="-103" w:hanging="3"/>
            </w:pPr>
            <w:r>
              <w:t>CỘNG HÒA XÃ HỘI CHỦ NGHĨA VIỆT NAM</w:t>
            </w:r>
          </w:p>
          <w:p w:rsidR="008135FE" w:rsidRPr="003A6631" w:rsidRDefault="003E6F65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3A6631">
              <w:rPr>
                <w:b/>
                <w:sz w:val="26"/>
                <w:szCs w:val="26"/>
              </w:rPr>
              <w:t>Độc</w:t>
            </w:r>
            <w:proofErr w:type="spellEnd"/>
            <w:r w:rsidRPr="003A66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6631">
              <w:rPr>
                <w:b/>
                <w:sz w:val="26"/>
                <w:szCs w:val="26"/>
              </w:rPr>
              <w:t>lập</w:t>
            </w:r>
            <w:proofErr w:type="spellEnd"/>
            <w:r w:rsidRPr="003A6631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3A6631">
              <w:rPr>
                <w:b/>
                <w:sz w:val="26"/>
                <w:szCs w:val="26"/>
              </w:rPr>
              <w:t>Tự</w:t>
            </w:r>
            <w:proofErr w:type="spellEnd"/>
            <w:r w:rsidRPr="003A6631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3A6631">
              <w:rPr>
                <w:b/>
                <w:sz w:val="26"/>
                <w:szCs w:val="26"/>
              </w:rPr>
              <w:t>Hạnh</w:t>
            </w:r>
            <w:proofErr w:type="spellEnd"/>
            <w:r w:rsidRPr="003A66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6631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8135FE" w:rsidRDefault="003E6F65">
            <w:pPr>
              <w:ind w:left="0" w:hanging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25400</wp:posOffset>
                      </wp:positionV>
                      <wp:extent cx="1828800" cy="22225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6363" y="378000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25400</wp:posOffset>
                      </wp:positionV>
                      <wp:extent cx="1828800" cy="22225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135FE" w:rsidTr="00194B4A">
        <w:trPr>
          <w:trHeight w:val="460"/>
        </w:trPr>
        <w:tc>
          <w:tcPr>
            <w:tcW w:w="5387" w:type="dxa"/>
          </w:tcPr>
          <w:p w:rsidR="008135FE" w:rsidRDefault="003E6F65" w:rsidP="00194B4A">
            <w:pPr>
              <w:ind w:leftChars="-45" w:left="-105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 </w:t>
            </w:r>
            <w:r w:rsidR="00BB299E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/TB – ĐTĐH</w:t>
            </w:r>
          </w:p>
          <w:p w:rsidR="008135FE" w:rsidRDefault="008135FE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8135FE" w:rsidRDefault="003E6F65" w:rsidP="00BB299E">
            <w:pPr>
              <w:ind w:left="1" w:hanging="3"/>
              <w:jc w:val="righ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Tp. </w:t>
            </w:r>
            <w:proofErr w:type="spellStart"/>
            <w:r>
              <w:rPr>
                <w:i/>
                <w:sz w:val="26"/>
                <w:szCs w:val="26"/>
              </w:rPr>
              <w:t>Hồ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Chí</w:t>
            </w:r>
            <w:proofErr w:type="spellEnd"/>
            <w:r>
              <w:rPr>
                <w:i/>
                <w:sz w:val="26"/>
                <w:szCs w:val="26"/>
              </w:rPr>
              <w:t xml:space="preserve"> Minh,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BB299E">
              <w:rPr>
                <w:i/>
                <w:sz w:val="26"/>
                <w:szCs w:val="26"/>
              </w:rPr>
              <w:t xml:space="preserve"> 09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 </w:t>
            </w:r>
            <w:r w:rsidR="00BB299E">
              <w:rPr>
                <w:i/>
                <w:sz w:val="26"/>
                <w:szCs w:val="26"/>
              </w:rPr>
              <w:t>06</w:t>
            </w:r>
            <w:r>
              <w:rPr>
                <w:i/>
                <w:sz w:val="26"/>
                <w:szCs w:val="26"/>
              </w:rPr>
              <w:t xml:space="preserve">  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2020</w:t>
            </w:r>
          </w:p>
        </w:tc>
      </w:tr>
    </w:tbl>
    <w:p w:rsidR="008135FE" w:rsidRDefault="008135FE">
      <w:pPr>
        <w:ind w:left="0" w:hanging="2"/>
      </w:pPr>
    </w:p>
    <w:p w:rsidR="008135FE" w:rsidRDefault="003E6F65">
      <w:pPr>
        <w:ind w:left="2" w:hanging="4"/>
        <w:jc w:val="center"/>
        <w:rPr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>THÔNG BÁO</w:t>
      </w:r>
    </w:p>
    <w:p w:rsidR="008135FE" w:rsidRDefault="003E6F65">
      <w:pPr>
        <w:spacing w:line="276" w:lineRule="auto"/>
        <w:ind w:left="1" w:hanging="3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thu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với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</w:p>
    <w:p w:rsidR="008135FE" w:rsidRDefault="003E6F65">
      <w:pPr>
        <w:spacing w:line="276" w:lineRule="auto"/>
        <w:ind w:left="1" w:hanging="3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từ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1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2020 – 2021</w:t>
      </w:r>
    </w:p>
    <w:p w:rsidR="008135FE" w:rsidRDefault="008135FE">
      <w:pPr>
        <w:tabs>
          <w:tab w:val="left" w:pos="3686"/>
        </w:tabs>
        <w:ind w:left="0" w:hanging="2"/>
      </w:pPr>
    </w:p>
    <w:p w:rsidR="008135FE" w:rsidRDefault="003E6F65" w:rsidP="003A6631">
      <w:pPr>
        <w:tabs>
          <w:tab w:val="left" w:pos="2552"/>
        </w:tabs>
        <w:ind w:left="1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</w:p>
    <w:p w:rsidR="008135FE" w:rsidRDefault="003E6F65">
      <w:pPr>
        <w:tabs>
          <w:tab w:val="left" w:pos="3686"/>
        </w:tabs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8135FE" w:rsidRDefault="003E6F65" w:rsidP="003A6631">
      <w:pPr>
        <w:spacing w:line="276" w:lineRule="auto"/>
        <w:ind w:leftChars="0" w:left="1" w:firstLineChars="202" w:firstLine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116/QĐ-ĐHCNTT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17-3-2020,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2020 – 2021,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CNTT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(HP)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(SV).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(P.ĐTĐH)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SV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8135FE" w:rsidRDefault="003E6F65" w:rsidP="003A6631">
      <w:pPr>
        <w:spacing w:before="120" w:line="276" w:lineRule="auto"/>
        <w:ind w:leftChars="0" w:left="286" w:hangingChars="102" w:hanging="2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, P.ĐTĐH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(ĐKHP)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ĐKHP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2,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ĐKHP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3 (</w:t>
      </w:r>
      <w:proofErr w:type="spellStart"/>
      <w:r>
        <w:rPr>
          <w:sz w:val="28"/>
          <w:szCs w:val="28"/>
        </w:rPr>
        <w:t>dành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ĐKHP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>)</w:t>
      </w:r>
      <w:r w:rsidR="002A771F">
        <w:rPr>
          <w:sz w:val="28"/>
          <w:szCs w:val="28"/>
        </w:rPr>
        <w:t xml:space="preserve"> </w:t>
      </w:r>
      <w:proofErr w:type="spellStart"/>
      <w:r w:rsidR="002A771F"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SV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ý.</w:t>
      </w:r>
      <w:proofErr w:type="gramEnd"/>
    </w:p>
    <w:p w:rsidR="008135FE" w:rsidRDefault="003E6F65" w:rsidP="003A6631">
      <w:pPr>
        <w:spacing w:before="120" w:line="276" w:lineRule="auto"/>
        <w:ind w:leftChars="0" w:left="286" w:hangingChars="102" w:hanging="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, SV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</w:rPr>
        <w:t>đợt</w:t>
      </w:r>
      <w:proofErr w:type="spellEnd"/>
      <w:r>
        <w:rPr>
          <w:b/>
          <w:i/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SV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, SV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b/>
          <w:i/>
          <w:sz w:val="28"/>
          <w:szCs w:val="28"/>
        </w:rPr>
        <w:t>đợt</w:t>
      </w:r>
      <w:proofErr w:type="spellEnd"/>
      <w:r>
        <w:rPr>
          <w:b/>
          <w:i/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(HP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lệch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). </w:t>
      </w:r>
    </w:p>
    <w:p w:rsidR="008135FE" w:rsidRDefault="003E6F65" w:rsidP="00681BE3">
      <w:pPr>
        <w:spacing w:line="276" w:lineRule="auto"/>
        <w:ind w:leftChars="0" w:left="284" w:firstLineChars="202" w:firstLine="568"/>
        <w:jc w:val="both"/>
        <w:rPr>
          <w:sz w:val="28"/>
          <w:szCs w:val="28"/>
        </w:rPr>
      </w:pPr>
      <w:proofErr w:type="spellStart"/>
      <w:r w:rsidRPr="00681BE3">
        <w:rPr>
          <w:b/>
          <w:bCs/>
          <w:i/>
          <w:iCs/>
          <w:sz w:val="28"/>
          <w:szCs w:val="28"/>
        </w:rPr>
        <w:t>Lưu</w:t>
      </w:r>
      <w:proofErr w:type="spellEnd"/>
      <w:r w:rsidRPr="00681BE3">
        <w:rPr>
          <w:b/>
          <w:bCs/>
          <w:i/>
          <w:iCs/>
          <w:sz w:val="28"/>
          <w:szCs w:val="28"/>
        </w:rPr>
        <w:t xml:space="preserve"> ý</w:t>
      </w:r>
      <w:r>
        <w:rPr>
          <w:sz w:val="28"/>
          <w:szCs w:val="28"/>
        </w:rPr>
        <w:t xml:space="preserve">: SV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>.</w:t>
      </w:r>
      <w:r w:rsidR="00681BE3">
        <w:rPr>
          <w:sz w:val="28"/>
          <w:szCs w:val="28"/>
        </w:rPr>
        <w:t xml:space="preserve"> </w:t>
      </w:r>
      <w:proofErr w:type="gramStart"/>
      <w:r w:rsidR="00681BE3">
        <w:rPr>
          <w:sz w:val="28"/>
          <w:szCs w:val="28"/>
        </w:rPr>
        <w:t xml:space="preserve">SV </w:t>
      </w:r>
      <w:proofErr w:type="spellStart"/>
      <w:r w:rsidR="00681BE3">
        <w:rPr>
          <w:sz w:val="28"/>
          <w:szCs w:val="28"/>
        </w:rPr>
        <w:t>đã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hoàn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thành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chương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trình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đào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tạo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nhưng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còn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nợ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chứng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chỉ</w:t>
      </w:r>
      <w:proofErr w:type="spellEnd"/>
      <w:r w:rsidR="00681BE3">
        <w:rPr>
          <w:sz w:val="28"/>
          <w:szCs w:val="28"/>
        </w:rPr>
        <w:t xml:space="preserve"> GDQP&amp;AN, </w:t>
      </w:r>
      <w:proofErr w:type="spellStart"/>
      <w:r w:rsidR="00681BE3">
        <w:rPr>
          <w:sz w:val="28"/>
          <w:szCs w:val="28"/>
        </w:rPr>
        <w:t>ngoại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ngữ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phải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đóng</w:t>
      </w:r>
      <w:proofErr w:type="spellEnd"/>
      <w:r w:rsidR="00681BE3">
        <w:rPr>
          <w:sz w:val="28"/>
          <w:szCs w:val="28"/>
        </w:rPr>
        <w:t xml:space="preserve"> HP </w:t>
      </w:r>
      <w:proofErr w:type="spellStart"/>
      <w:r w:rsidR="00681BE3">
        <w:rPr>
          <w:sz w:val="28"/>
          <w:szCs w:val="28"/>
        </w:rPr>
        <w:t>gia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hạn</w:t>
      </w:r>
      <w:proofErr w:type="spellEnd"/>
      <w:r w:rsidR="00681BE3">
        <w:rPr>
          <w:sz w:val="28"/>
          <w:szCs w:val="28"/>
        </w:rPr>
        <w:t>.</w:t>
      </w:r>
      <w:proofErr w:type="gramEnd"/>
    </w:p>
    <w:p w:rsidR="008135FE" w:rsidRDefault="003E6F65" w:rsidP="003A6631">
      <w:pPr>
        <w:spacing w:before="120" w:line="276" w:lineRule="auto"/>
        <w:ind w:leftChars="0" w:left="286" w:hangingChars="102" w:hanging="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hoạch-Tài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(P.KHTC)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ĐKHP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1. </w:t>
      </w:r>
      <w:proofErr w:type="spellStart"/>
      <w:proofErr w:type="gram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SV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HP /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(P.CTSV)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  <w:proofErr w:type="gramEnd"/>
    </w:p>
    <w:p w:rsidR="008135FE" w:rsidRDefault="003E6F65" w:rsidP="003A6631">
      <w:pPr>
        <w:spacing w:before="120" w:line="276" w:lineRule="auto"/>
        <w:ind w:leftChars="0" w:left="286" w:hangingChars="102" w:hanging="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02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P.ĐTĐH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hủy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ĐKHP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SV </w:t>
      </w:r>
      <w:proofErr w:type="spellStart"/>
      <w:r>
        <w:rPr>
          <w:sz w:val="28"/>
          <w:szCs w:val="28"/>
        </w:rPr>
        <w:t>nợ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HP.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P.KHTC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2.</w:t>
      </w:r>
    </w:p>
    <w:p w:rsidR="008135FE" w:rsidRDefault="003E6F65" w:rsidP="003A6631">
      <w:pPr>
        <w:spacing w:before="120" w:line="276" w:lineRule="auto"/>
        <w:ind w:leftChars="0" w:left="286" w:hangingChars="102" w:hanging="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15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, P.CTSV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HP /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HP.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P.KHTC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2. </w:t>
      </w:r>
    </w:p>
    <w:p w:rsidR="008135FE" w:rsidRDefault="003E6F65" w:rsidP="003A6631">
      <w:pPr>
        <w:spacing w:before="120" w:line="276" w:lineRule="auto"/>
        <w:ind w:leftChars="0" w:left="286" w:hangingChars="102" w:hanging="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10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, P.ĐTĐH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SV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81BE3">
        <w:rPr>
          <w:sz w:val="28"/>
          <w:szCs w:val="28"/>
        </w:rPr>
        <w:t>tên</w:t>
      </w:r>
      <w:proofErr w:type="spellEnd"/>
      <w:r w:rsidR="0068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.</w:t>
      </w:r>
    </w:p>
    <w:p w:rsidR="008135FE" w:rsidRPr="003A6631" w:rsidRDefault="003E6F65" w:rsidP="003A6631">
      <w:pPr>
        <w:spacing w:line="276" w:lineRule="auto"/>
        <w:ind w:leftChars="0" w:left="1" w:firstLineChars="202" w:firstLine="566"/>
        <w:jc w:val="both"/>
        <w:rPr>
          <w:sz w:val="28"/>
          <w:szCs w:val="28"/>
        </w:rPr>
      </w:pPr>
      <w:bookmarkStart w:id="1" w:name="_heading=h.30j0zll" w:colFirst="0" w:colLast="0"/>
      <w:bookmarkEnd w:id="1"/>
      <w:proofErr w:type="spellStart"/>
      <w:r>
        <w:rPr>
          <w:sz w:val="28"/>
          <w:szCs w:val="28"/>
        </w:rPr>
        <w:lastRenderedPageBreak/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SV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trễ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HP </w:t>
      </w:r>
      <w:proofErr w:type="spellStart"/>
      <w:r w:rsidR="00681BE3">
        <w:rPr>
          <w:sz w:val="28"/>
          <w:szCs w:val="28"/>
        </w:rPr>
        <w:t>các</w:t>
      </w:r>
      <w:proofErr w:type="spellEnd"/>
      <w:r w:rsidR="00681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. HP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SV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0.</w:t>
      </w:r>
      <w:r w:rsidRPr="003A6631">
        <w:rPr>
          <w:sz w:val="28"/>
          <w:szCs w:val="28"/>
        </w:rPr>
        <w:tab/>
      </w:r>
    </w:p>
    <w:p w:rsidR="008135FE" w:rsidRPr="003A6631" w:rsidRDefault="003E6F65" w:rsidP="003A6631">
      <w:pPr>
        <w:spacing w:line="276" w:lineRule="auto"/>
        <w:ind w:leftChars="0" w:left="1" w:firstLineChars="202" w:firstLine="566"/>
        <w:jc w:val="both"/>
        <w:rPr>
          <w:sz w:val="28"/>
          <w:szCs w:val="28"/>
        </w:rPr>
      </w:pPr>
      <w:proofErr w:type="spellStart"/>
      <w:proofErr w:type="gramStart"/>
      <w:r w:rsidRPr="003A6631">
        <w:rPr>
          <w:sz w:val="28"/>
          <w:szCs w:val="28"/>
        </w:rPr>
        <w:t>Đề</w:t>
      </w:r>
      <w:proofErr w:type="spellEnd"/>
      <w:r w:rsidRPr="003A6631">
        <w:rPr>
          <w:sz w:val="28"/>
          <w:szCs w:val="28"/>
        </w:rPr>
        <w:t xml:space="preserve"> </w:t>
      </w:r>
      <w:proofErr w:type="spellStart"/>
      <w:r w:rsidRPr="003A6631">
        <w:rPr>
          <w:sz w:val="28"/>
          <w:szCs w:val="28"/>
        </w:rPr>
        <w:t>nghị</w:t>
      </w:r>
      <w:proofErr w:type="spellEnd"/>
      <w:r w:rsidRPr="003A6631">
        <w:rPr>
          <w:sz w:val="28"/>
          <w:szCs w:val="28"/>
        </w:rPr>
        <w:t xml:space="preserve"> </w:t>
      </w:r>
      <w:proofErr w:type="spellStart"/>
      <w:r w:rsidRPr="003A6631">
        <w:rPr>
          <w:sz w:val="28"/>
          <w:szCs w:val="28"/>
        </w:rPr>
        <w:t>tất</w:t>
      </w:r>
      <w:proofErr w:type="spellEnd"/>
      <w:r w:rsidRPr="003A6631">
        <w:rPr>
          <w:sz w:val="28"/>
          <w:szCs w:val="28"/>
        </w:rPr>
        <w:t xml:space="preserve"> </w:t>
      </w:r>
      <w:proofErr w:type="spellStart"/>
      <w:r w:rsidRPr="003A6631">
        <w:rPr>
          <w:sz w:val="28"/>
          <w:szCs w:val="28"/>
        </w:rPr>
        <w:t>cả</w:t>
      </w:r>
      <w:proofErr w:type="spellEnd"/>
      <w:r w:rsidRPr="003A6631">
        <w:rPr>
          <w:sz w:val="28"/>
          <w:szCs w:val="28"/>
        </w:rPr>
        <w:t xml:space="preserve"> </w:t>
      </w:r>
      <w:proofErr w:type="spellStart"/>
      <w:r w:rsidRPr="003A6631">
        <w:rPr>
          <w:sz w:val="28"/>
          <w:szCs w:val="28"/>
        </w:rPr>
        <w:t>các</w:t>
      </w:r>
      <w:proofErr w:type="spellEnd"/>
      <w:r w:rsidRPr="003A6631">
        <w:rPr>
          <w:sz w:val="28"/>
          <w:szCs w:val="28"/>
        </w:rPr>
        <w:t xml:space="preserve"> SV </w:t>
      </w:r>
      <w:proofErr w:type="spellStart"/>
      <w:r w:rsidRPr="003A6631">
        <w:rPr>
          <w:sz w:val="28"/>
          <w:szCs w:val="28"/>
        </w:rPr>
        <w:t>nghiên</w:t>
      </w:r>
      <w:proofErr w:type="spellEnd"/>
      <w:r w:rsidRPr="003A6631">
        <w:rPr>
          <w:sz w:val="28"/>
          <w:szCs w:val="28"/>
        </w:rPr>
        <w:t xml:space="preserve"> </w:t>
      </w:r>
      <w:proofErr w:type="spellStart"/>
      <w:r w:rsidRPr="003A6631">
        <w:rPr>
          <w:sz w:val="28"/>
          <w:szCs w:val="28"/>
        </w:rPr>
        <w:t>cứu</w:t>
      </w:r>
      <w:proofErr w:type="spellEnd"/>
      <w:r w:rsidRPr="003A6631">
        <w:rPr>
          <w:sz w:val="28"/>
          <w:szCs w:val="28"/>
        </w:rPr>
        <w:t xml:space="preserve"> </w:t>
      </w:r>
      <w:proofErr w:type="spellStart"/>
      <w:r w:rsidRPr="003A6631">
        <w:rPr>
          <w:sz w:val="28"/>
          <w:szCs w:val="28"/>
        </w:rPr>
        <w:t>thông</w:t>
      </w:r>
      <w:proofErr w:type="spellEnd"/>
      <w:r w:rsidRPr="003A6631">
        <w:rPr>
          <w:sz w:val="28"/>
          <w:szCs w:val="28"/>
        </w:rPr>
        <w:t xml:space="preserve"> </w:t>
      </w:r>
      <w:proofErr w:type="spellStart"/>
      <w:r w:rsidRPr="003A6631">
        <w:rPr>
          <w:sz w:val="28"/>
          <w:szCs w:val="28"/>
        </w:rPr>
        <w:t>báo</w:t>
      </w:r>
      <w:proofErr w:type="spellEnd"/>
      <w:r w:rsidRPr="003A6631">
        <w:rPr>
          <w:sz w:val="28"/>
          <w:szCs w:val="28"/>
        </w:rPr>
        <w:t xml:space="preserve"> </w:t>
      </w:r>
      <w:proofErr w:type="spellStart"/>
      <w:r w:rsidRPr="003A6631">
        <w:rPr>
          <w:sz w:val="28"/>
          <w:szCs w:val="28"/>
        </w:rPr>
        <w:t>và</w:t>
      </w:r>
      <w:proofErr w:type="spellEnd"/>
      <w:r w:rsidRPr="003A6631">
        <w:rPr>
          <w:sz w:val="28"/>
          <w:szCs w:val="28"/>
        </w:rPr>
        <w:t xml:space="preserve"> </w:t>
      </w:r>
      <w:proofErr w:type="spellStart"/>
      <w:r w:rsidRPr="003A6631">
        <w:rPr>
          <w:sz w:val="28"/>
          <w:szCs w:val="28"/>
        </w:rPr>
        <w:t>thực</w:t>
      </w:r>
      <w:proofErr w:type="spellEnd"/>
      <w:r w:rsidRPr="003A6631">
        <w:rPr>
          <w:sz w:val="28"/>
          <w:szCs w:val="28"/>
        </w:rPr>
        <w:t xml:space="preserve"> </w:t>
      </w:r>
      <w:proofErr w:type="spellStart"/>
      <w:r w:rsidRPr="003A6631">
        <w:rPr>
          <w:sz w:val="28"/>
          <w:szCs w:val="28"/>
        </w:rPr>
        <w:t>hiện</w:t>
      </w:r>
      <w:proofErr w:type="spellEnd"/>
      <w:r w:rsidRPr="003A6631">
        <w:rPr>
          <w:sz w:val="28"/>
          <w:szCs w:val="28"/>
        </w:rPr>
        <w:t>.</w:t>
      </w:r>
      <w:proofErr w:type="gramEnd"/>
    </w:p>
    <w:p w:rsidR="008135FE" w:rsidRDefault="008135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5"/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8135FE">
        <w:trPr>
          <w:trHeight w:val="89"/>
        </w:trPr>
        <w:tc>
          <w:tcPr>
            <w:tcW w:w="3794" w:type="dxa"/>
          </w:tcPr>
          <w:p w:rsidR="008135FE" w:rsidRDefault="003E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276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Nơi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nhận</w:t>
            </w:r>
            <w:proofErr w:type="spellEnd"/>
            <w:r>
              <w:rPr>
                <w:b/>
                <w:i/>
                <w:color w:val="000000"/>
              </w:rPr>
              <w:t>:</w:t>
            </w:r>
          </w:p>
          <w:p w:rsidR="008135FE" w:rsidRDefault="003E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276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Như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trên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8135FE" w:rsidRDefault="003E6F65" w:rsidP="00546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276" w:lineRule="auto"/>
              <w:ind w:left="178" w:hangingChars="8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P.KHTC, P.CTSV, P.DL&amp;CNTT</w:t>
            </w:r>
            <w:r w:rsidR="00546233">
              <w:rPr>
                <w:sz w:val="22"/>
                <w:szCs w:val="22"/>
              </w:rPr>
              <w:t>, VPCCTĐB</w:t>
            </w:r>
            <w:r>
              <w:rPr>
                <w:sz w:val="22"/>
                <w:szCs w:val="22"/>
              </w:rPr>
              <w:t xml:space="preserve"> (p/h);</w:t>
            </w:r>
          </w:p>
          <w:p w:rsidR="008135FE" w:rsidRDefault="003E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Lưu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P.ĐTĐH (</w:t>
            </w:r>
            <w:r w:rsidR="00546233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5812" w:type="dxa"/>
          </w:tcPr>
          <w:p w:rsidR="008135FE" w:rsidRDefault="002F3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KT. </w:t>
            </w:r>
            <w:r w:rsidR="003E6F65">
              <w:rPr>
                <w:b/>
                <w:color w:val="000000"/>
                <w:sz w:val="26"/>
                <w:szCs w:val="26"/>
              </w:rPr>
              <w:t>TRƯỞNG PHÒNG ĐÀO TẠO ĐẠI HỌC</w:t>
            </w:r>
          </w:p>
          <w:p w:rsidR="008135FE" w:rsidRPr="002F3897" w:rsidRDefault="002F3897" w:rsidP="002F3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276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2F3897">
              <w:rPr>
                <w:b/>
                <w:bCs/>
                <w:color w:val="000000"/>
              </w:rPr>
              <w:t>PHÓ TRƯỞNG PHÒNG</w:t>
            </w:r>
          </w:p>
          <w:p w:rsidR="008135FE" w:rsidRDefault="00BB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2730"/>
                <w:tab w:val="center" w:pos="2798"/>
              </w:tabs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Đã</w:t>
            </w:r>
            <w:proofErr w:type="spellEnd"/>
            <w:r>
              <w:rPr>
                <w:b/>
                <w:color w:val="000000"/>
              </w:rPr>
              <w:t xml:space="preserve"> ký)</w:t>
            </w:r>
            <w:bookmarkStart w:id="2" w:name="_GoBack"/>
            <w:bookmarkEnd w:id="2"/>
          </w:p>
          <w:p w:rsidR="008135FE" w:rsidRDefault="0081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2730"/>
                <w:tab w:val="center" w:pos="2798"/>
              </w:tabs>
              <w:spacing w:line="276" w:lineRule="auto"/>
              <w:ind w:left="0" w:hanging="2"/>
              <w:rPr>
                <w:color w:val="000000"/>
              </w:rPr>
            </w:pPr>
          </w:p>
          <w:p w:rsidR="008135FE" w:rsidRDefault="0081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2730"/>
                <w:tab w:val="center" w:pos="2798"/>
              </w:tabs>
              <w:spacing w:line="276" w:lineRule="auto"/>
              <w:ind w:left="0" w:hanging="2"/>
              <w:rPr>
                <w:color w:val="000000"/>
              </w:rPr>
            </w:pPr>
          </w:p>
          <w:p w:rsidR="008135FE" w:rsidRDefault="002F3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spacing w:line="276" w:lineRule="auto"/>
              <w:ind w:left="1"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Trần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Bá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Nhiệm</w:t>
            </w:r>
            <w:proofErr w:type="spellEnd"/>
          </w:p>
        </w:tc>
      </w:tr>
    </w:tbl>
    <w:p w:rsidR="008135FE" w:rsidRDefault="008135FE">
      <w:pPr>
        <w:ind w:left="0" w:hanging="2"/>
      </w:pPr>
    </w:p>
    <w:sectPr w:rsidR="00813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2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F3" w:rsidRDefault="003D19F3" w:rsidP="0056307C">
      <w:pPr>
        <w:spacing w:line="240" w:lineRule="auto"/>
        <w:ind w:left="0" w:hanging="2"/>
      </w:pPr>
      <w:r>
        <w:separator/>
      </w:r>
    </w:p>
  </w:endnote>
  <w:endnote w:type="continuationSeparator" w:id="0">
    <w:p w:rsidR="003D19F3" w:rsidRDefault="003D19F3" w:rsidP="005630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C" w:rsidRDefault="0056307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172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07C" w:rsidRDefault="0056307C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07C" w:rsidRDefault="0056307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C" w:rsidRDefault="0056307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F3" w:rsidRDefault="003D19F3" w:rsidP="0056307C">
      <w:pPr>
        <w:spacing w:line="240" w:lineRule="auto"/>
        <w:ind w:left="0" w:hanging="2"/>
      </w:pPr>
      <w:r>
        <w:separator/>
      </w:r>
    </w:p>
  </w:footnote>
  <w:footnote w:type="continuationSeparator" w:id="0">
    <w:p w:rsidR="003D19F3" w:rsidRDefault="003D19F3" w:rsidP="005630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C" w:rsidRDefault="0056307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C" w:rsidRDefault="0056307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C" w:rsidRDefault="0056307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E"/>
    <w:rsid w:val="00194B4A"/>
    <w:rsid w:val="002A771F"/>
    <w:rsid w:val="002F3897"/>
    <w:rsid w:val="003A6631"/>
    <w:rsid w:val="003D19F3"/>
    <w:rsid w:val="003E6F65"/>
    <w:rsid w:val="00546233"/>
    <w:rsid w:val="0056307C"/>
    <w:rsid w:val="00590F9D"/>
    <w:rsid w:val="00681BE3"/>
    <w:rsid w:val="008135FE"/>
    <w:rsid w:val="00B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-288" w:firstLine="288"/>
      <w:jc w:val="center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30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7C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-288" w:firstLine="288"/>
      <w:jc w:val="center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30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7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/QXaAeqRXcWDCg8lfYXlpOXysg==">AMUW2mWVsPpXmBr1WFudWtM78M3SwI3tMKadUvwo9/bHWXQ3ib4ny+qXJs8UmYCASXstfYFK3S+wEV9TAo442CUQuM4Zps0c6S6Bjxqm1ttQOUGo+vK6iefDhiVgcL6utw2uDD7k0moK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PhongLD</dc:creator>
  <cp:lastModifiedBy>Windows User</cp:lastModifiedBy>
  <cp:revision>9</cp:revision>
  <dcterms:created xsi:type="dcterms:W3CDTF">2020-03-18T07:53:00Z</dcterms:created>
  <dcterms:modified xsi:type="dcterms:W3CDTF">2020-06-09T04:28:00Z</dcterms:modified>
</cp:coreProperties>
</file>